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7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36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ÍNDICE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1. OBJETO</w:t>
      </w:r>
    </w:p>
    <w:p w:rsidR="008F57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2. ALCANCE</w:t>
      </w: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 RESPONSABILIDADES</w:t>
      </w: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 DESARROLLO</w:t>
      </w:r>
    </w:p>
    <w:p w:rsidR="008F577D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4.1. Perfiles de ingreso. Captación de estudiantes. Admisión. Acceso. Matriculación.</w:t>
      </w:r>
    </w:p>
    <w:p w:rsidR="008F577D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4.2. Planificación y coordinación docente. Diseño, desarrollo y mejora continua de las guías docentes.</w:t>
      </w:r>
    </w:p>
    <w:p w:rsidR="008F577D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4.3. Orientación académica y profesional al estudiantado.</w:t>
      </w:r>
    </w:p>
    <w:p w:rsidR="008F577D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4.4. Gestión de las prácticas externas curriculares.</w:t>
      </w:r>
    </w:p>
    <w:p w:rsidR="008F577D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4.5. Gestión de la movilidad de los estudiantes.</w:t>
      </w:r>
    </w:p>
    <w:p w:rsidR="008F577D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4.6. Gestión de reconocimiento de créditos. Certificación de los aprendizajes.</w:t>
      </w:r>
    </w:p>
    <w:p w:rsidR="008F577D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4.7. Aplicación de la normativa relacionada con estudiantes.</w:t>
      </w:r>
    </w:p>
    <w:p w:rsidR="008F577D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4.8. Gestión de la calidad de los trabajos fin de título.</w:t>
      </w:r>
    </w:p>
    <w:p w:rsidR="008F577D" w:rsidRDefault="00000000">
      <w:pPr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4.9. Gestión de otras actividades relacionadas con el proceso de enseñanza-aprendizaje.</w:t>
      </w: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5. INDICADORES</w:t>
      </w: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6. REGISTROS/EVIDENCIAS</w:t>
      </w:r>
    </w:p>
    <w:p w:rsidR="008F577D" w:rsidRDefault="008F577D">
      <w:pPr>
        <w:jc w:val="both"/>
        <w:rPr>
          <w:rFonts w:ascii="Calibri" w:eastAsia="Calibri" w:hAnsi="Calibri" w:cs="Calibri"/>
          <w:b/>
        </w:rPr>
      </w:pPr>
    </w:p>
    <w:p w:rsidR="008F577D" w:rsidRDefault="008F577D">
      <w:pPr>
        <w:spacing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5"/>
        <w:tblW w:w="92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668"/>
        <w:gridCol w:w="6270"/>
      </w:tblGrid>
      <w:tr w:rsidR="008F577D">
        <w:trPr>
          <w:trHeight w:val="272"/>
        </w:trPr>
        <w:tc>
          <w:tcPr>
            <w:tcW w:w="1330" w:type="dxa"/>
            <w:shd w:val="clear" w:color="auto" w:fill="E6E6E6"/>
          </w:tcPr>
          <w:p w:rsidR="008F577D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Edición</w:t>
            </w:r>
          </w:p>
        </w:tc>
        <w:tc>
          <w:tcPr>
            <w:tcW w:w="1668" w:type="dxa"/>
            <w:shd w:val="clear" w:color="auto" w:fill="E6E6E6"/>
          </w:tcPr>
          <w:p w:rsidR="008F577D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6270" w:type="dxa"/>
            <w:shd w:val="clear" w:color="auto" w:fill="E6E6E6"/>
          </w:tcPr>
          <w:p w:rsidR="008F577D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Motivo de la modificación</w:t>
            </w:r>
          </w:p>
        </w:tc>
      </w:tr>
      <w:tr w:rsidR="008F577D">
        <w:trPr>
          <w:trHeight w:val="287"/>
        </w:trPr>
        <w:tc>
          <w:tcPr>
            <w:tcW w:w="1330" w:type="dxa"/>
          </w:tcPr>
          <w:p w:rsidR="008F577D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01</w:t>
            </w:r>
          </w:p>
        </w:tc>
        <w:tc>
          <w:tcPr>
            <w:tcW w:w="1668" w:type="dxa"/>
          </w:tcPr>
          <w:p w:rsidR="008F577D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13/12/2021</w:t>
            </w:r>
          </w:p>
        </w:tc>
        <w:tc>
          <w:tcPr>
            <w:tcW w:w="6270" w:type="dxa"/>
          </w:tcPr>
          <w:p w:rsidR="008F577D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Nuevo procedimiento del SGC optimizado.</w:t>
            </w:r>
          </w:p>
        </w:tc>
      </w:tr>
      <w:tr w:rsidR="008F577D">
        <w:trPr>
          <w:trHeight w:val="272"/>
        </w:trPr>
        <w:tc>
          <w:tcPr>
            <w:tcW w:w="1330" w:type="dxa"/>
          </w:tcPr>
          <w:p w:rsidR="008F577D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02</w:t>
            </w:r>
          </w:p>
        </w:tc>
        <w:tc>
          <w:tcPr>
            <w:tcW w:w="1668" w:type="dxa"/>
          </w:tcPr>
          <w:p w:rsidR="008F577D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05/07/2023</w:t>
            </w:r>
          </w:p>
        </w:tc>
        <w:tc>
          <w:tcPr>
            <w:tcW w:w="6270" w:type="dxa"/>
          </w:tcPr>
          <w:p w:rsidR="008F577D" w:rsidRDefault="00000000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Cambio de denominación del registro R-PC02-6 y sustitución de SAAE por SERINCO (apartado 4.5). </w:t>
            </w:r>
          </w:p>
        </w:tc>
      </w:tr>
      <w:tr w:rsidR="008F577D">
        <w:trPr>
          <w:trHeight w:val="272"/>
        </w:trPr>
        <w:tc>
          <w:tcPr>
            <w:tcW w:w="1330" w:type="dxa"/>
          </w:tcPr>
          <w:p w:rsidR="008F577D" w:rsidRDefault="001D728A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 w:rsidRPr="001D728A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03</w:t>
            </w:r>
          </w:p>
        </w:tc>
        <w:tc>
          <w:tcPr>
            <w:tcW w:w="1668" w:type="dxa"/>
          </w:tcPr>
          <w:p w:rsidR="008F577D" w:rsidRDefault="008F577D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270" w:type="dxa"/>
          </w:tcPr>
          <w:p w:rsidR="008F577D" w:rsidRDefault="001D728A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  <w:r w:rsidRPr="00207DF7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Incorporación de los grupos de Interés (Ap.1 Objeto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)</w:t>
            </w:r>
          </w:p>
        </w:tc>
      </w:tr>
      <w:tr w:rsidR="008F577D">
        <w:trPr>
          <w:trHeight w:val="272"/>
        </w:trPr>
        <w:tc>
          <w:tcPr>
            <w:tcW w:w="1330" w:type="dxa"/>
          </w:tcPr>
          <w:p w:rsidR="008F577D" w:rsidRDefault="008F577D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8" w:type="dxa"/>
          </w:tcPr>
          <w:p w:rsidR="008F577D" w:rsidRDefault="008F577D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270" w:type="dxa"/>
          </w:tcPr>
          <w:p w:rsidR="008F577D" w:rsidRDefault="008F577D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8F577D">
        <w:trPr>
          <w:trHeight w:val="272"/>
        </w:trPr>
        <w:tc>
          <w:tcPr>
            <w:tcW w:w="1330" w:type="dxa"/>
          </w:tcPr>
          <w:p w:rsidR="008F577D" w:rsidRDefault="008F577D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8" w:type="dxa"/>
          </w:tcPr>
          <w:p w:rsidR="008F577D" w:rsidRDefault="008F577D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270" w:type="dxa"/>
          </w:tcPr>
          <w:p w:rsidR="008F577D" w:rsidRDefault="008F577D">
            <w:pPr>
              <w:tabs>
                <w:tab w:val="left" w:pos="6015"/>
              </w:tabs>
              <w:ind w:right="309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8F577D" w:rsidRDefault="008F577D">
      <w:pPr>
        <w:spacing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6"/>
        <w:tblW w:w="925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570"/>
        <w:gridCol w:w="4680"/>
      </w:tblGrid>
      <w:tr w:rsidR="008F577D">
        <w:trPr>
          <w:trHeight w:val="2062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8F577D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Elaboración: Comisión de Garantía de Calidad </w:t>
            </w:r>
          </w:p>
          <w:p w:rsidR="008F577D" w:rsidRDefault="008F5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F577D" w:rsidRDefault="008F577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F577D" w:rsidRDefault="008F577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F577D" w:rsidRDefault="008F577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F577D" w:rsidRDefault="008F577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F577D" w:rsidRDefault="00000000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Fdo. </w:t>
            </w:r>
            <w:r w:rsidR="001D728A">
              <w:rPr>
                <w:rFonts w:ascii="Calibri" w:eastAsia="Calibri" w:hAnsi="Calibri" w:cs="Calibri"/>
                <w:sz w:val="16"/>
                <w:szCs w:val="16"/>
              </w:rPr>
              <w:t>Diego Franco Jaime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 Presidente de la Comisión de Garantía de Calidad.</w:t>
            </w:r>
          </w:p>
          <w:p w:rsidR="008F577D" w:rsidRDefault="00000000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Fecha: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77D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Revisión y aprobación: Junta de Facultad</w:t>
            </w:r>
          </w:p>
          <w:p w:rsidR="008F577D" w:rsidRDefault="008F5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F577D" w:rsidRDefault="008F577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F577D" w:rsidRDefault="008F577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F577D" w:rsidRDefault="008F577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F577D" w:rsidRDefault="008F5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8F57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Fdo.: </w:t>
            </w:r>
            <w:r w:rsidR="001D728A">
              <w:rPr>
                <w:rFonts w:ascii="Calibri" w:eastAsia="Calibri" w:hAnsi="Calibri" w:cs="Calibri"/>
                <w:sz w:val="16"/>
                <w:szCs w:val="16"/>
              </w:rPr>
              <w:t>Diego Franco Jaime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 Decano.</w:t>
            </w:r>
          </w:p>
          <w:p w:rsidR="008F57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Fecha: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:rsidR="008F577D" w:rsidRDefault="008F5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F577D" w:rsidRDefault="008F5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8F577D" w:rsidRDefault="008F577D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8F577D" w:rsidRDefault="008F577D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8F577D" w:rsidRDefault="008F577D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8F577D" w:rsidRDefault="008F577D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8F577D" w:rsidRDefault="008F577D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8F577D" w:rsidRDefault="008F577D">
      <w:pPr>
        <w:spacing w:line="360" w:lineRule="auto"/>
        <w:jc w:val="both"/>
        <w:rPr>
          <w:rFonts w:ascii="Calibri" w:eastAsia="Calibri" w:hAnsi="Calibri" w:cs="Calibri"/>
          <w:b/>
        </w:rPr>
      </w:pPr>
    </w:p>
    <w:p w:rsidR="008F577D" w:rsidRDefault="008F577D">
      <w:pPr>
        <w:jc w:val="both"/>
        <w:rPr>
          <w:rFonts w:ascii="Calibri" w:eastAsia="Calibri" w:hAnsi="Calibri" w:cs="Calibri"/>
          <w:b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1. OBJETO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El objeto del presente procedimiento es establecer el modo en el que </w:t>
      </w:r>
      <w:r>
        <w:rPr>
          <w:rFonts w:ascii="Calibri" w:eastAsia="Calibri" w:hAnsi="Calibri" w:cs="Calibri"/>
        </w:rPr>
        <w:t>la Facultad</w:t>
      </w:r>
      <w:r>
        <w:rPr>
          <w:rFonts w:ascii="Calibri" w:eastAsia="Calibri" w:hAnsi="Calibri" w:cs="Calibri"/>
          <w:color w:val="000000"/>
        </w:rPr>
        <w:t xml:space="preserve"> de Ciencias Experimentales (FCE) organiza y desarrolla los títulos que imparte, favoreciendo el aprendizaje del estudiantado.</w:t>
      </w:r>
    </w:p>
    <w:p w:rsidR="008F577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Este procedimiento incluye las actuaciones del Centro relacionadas con los perfiles de ingreso y captación de estudiantes; los criterios de admisión y acceso; la matriculación; la planificación y coordinación docente; el diseño, desarrollo y mejora continua de las guías docentes; la orientación académica y profesional al estudiantado; la gestión de las prácticas externas curriculares; la gestión de la movilidad de los estudiantes; la gestión de reconocimiento de créditos; la normativa relacionada con estudiantes; la gestión de la calidad de los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color w:val="000000"/>
        </w:rPr>
        <w:t xml:space="preserve">rabajos fin </w:t>
      </w:r>
      <w:r>
        <w:rPr>
          <w:rFonts w:ascii="Calibri" w:eastAsia="Calibri" w:hAnsi="Calibri" w:cs="Calibri"/>
        </w:rPr>
        <w:t>de título (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</w:rPr>
        <w:t xml:space="preserve">FT); </w:t>
      </w:r>
      <w:r>
        <w:rPr>
          <w:rFonts w:ascii="Calibri" w:eastAsia="Calibri" w:hAnsi="Calibri" w:cs="Calibri"/>
          <w:color w:val="000000"/>
        </w:rPr>
        <w:t>la gestión de otras actividades relacionadas con el proceso de enseñanza-aprendizaje.</w:t>
      </w:r>
    </w:p>
    <w:p w:rsidR="008F577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Si bien muchas de las actuaciones relacionadas con la gestión de los procesos de enseñanza-aprendizaje son competencia de la FCE, aquellas que no lo son aparecen señaladas entre corchetes.</w:t>
      </w:r>
    </w:p>
    <w:p w:rsidR="008F577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Este procedimiento PC02 se complementa con el procedimiento PC01 </w:t>
      </w:r>
      <w:r>
        <w:rPr>
          <w:rFonts w:ascii="Calibri" w:eastAsia="Calibri" w:hAnsi="Calibri" w:cs="Calibri"/>
          <w:i/>
          <w:color w:val="000000"/>
        </w:rPr>
        <w:t>Diseño, seguimiento y mejora de los programas formativos</w:t>
      </w:r>
      <w:r>
        <w:rPr>
          <w:rFonts w:ascii="Calibri" w:eastAsia="Calibri" w:hAnsi="Calibri" w:cs="Calibri"/>
          <w:color w:val="000000"/>
        </w:rPr>
        <w:t xml:space="preserve">. Asimismo, está estrechamente vinculado a los procedimientos PA02 </w:t>
      </w:r>
      <w:r>
        <w:rPr>
          <w:rFonts w:ascii="Calibri" w:eastAsia="Calibri" w:hAnsi="Calibri" w:cs="Calibri"/>
          <w:i/>
          <w:color w:val="000000"/>
        </w:rPr>
        <w:t>Gestión de los recursos docentes</w:t>
      </w:r>
      <w:r>
        <w:rPr>
          <w:rFonts w:ascii="Calibri" w:eastAsia="Calibri" w:hAnsi="Calibri" w:cs="Calibri"/>
          <w:color w:val="000000"/>
        </w:rPr>
        <w:t xml:space="preserve">, PA03 </w:t>
      </w:r>
      <w:r>
        <w:rPr>
          <w:rFonts w:ascii="Calibri" w:eastAsia="Calibri" w:hAnsi="Calibri" w:cs="Calibri"/>
          <w:i/>
          <w:color w:val="000000"/>
        </w:rPr>
        <w:t>Gestión de los recursos para el aprendizaje y apoyo al estudiante</w:t>
      </w:r>
      <w:r>
        <w:rPr>
          <w:rFonts w:ascii="Calibri" w:eastAsia="Calibri" w:hAnsi="Calibri" w:cs="Calibri"/>
          <w:color w:val="000000"/>
        </w:rPr>
        <w:t xml:space="preserve"> y PA01 </w:t>
      </w:r>
      <w:r>
        <w:rPr>
          <w:rFonts w:ascii="Calibri" w:eastAsia="Calibri" w:hAnsi="Calibri" w:cs="Calibri"/>
          <w:i/>
          <w:color w:val="000000"/>
        </w:rPr>
        <w:t>Gestión de la información y análisis de resultados</w:t>
      </w:r>
      <w:r>
        <w:rPr>
          <w:rFonts w:ascii="Calibri" w:eastAsia="Calibri" w:hAnsi="Calibri" w:cs="Calibri"/>
          <w:color w:val="000000"/>
        </w:rPr>
        <w:t xml:space="preserve">. </w:t>
      </w:r>
    </w:p>
    <w:p w:rsidR="008F577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Este procedimiento PC02 incluye a todos los </w:t>
      </w:r>
      <w:r>
        <w:rPr>
          <w:rFonts w:ascii="Calibri" w:eastAsia="Calibri" w:hAnsi="Calibri" w:cs="Calibri"/>
        </w:rPr>
        <w:t>títulos</w:t>
      </w:r>
      <w:r>
        <w:rPr>
          <w:rFonts w:ascii="Calibri" w:eastAsia="Calibri" w:hAnsi="Calibri" w:cs="Calibri"/>
          <w:color w:val="000000"/>
        </w:rPr>
        <w:t xml:space="preserve"> oficiales de la Universidad de Jaén </w:t>
      </w:r>
      <w:r>
        <w:rPr>
          <w:rFonts w:ascii="Calibri" w:eastAsia="Calibri" w:hAnsi="Calibri" w:cs="Calibri"/>
        </w:rPr>
        <w:t>asignados a la</w:t>
      </w:r>
      <w:r>
        <w:rPr>
          <w:rFonts w:ascii="Calibri" w:eastAsia="Calibri" w:hAnsi="Calibri" w:cs="Calibri"/>
          <w:color w:val="000000"/>
        </w:rPr>
        <w:t xml:space="preserve"> F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color w:val="000000"/>
        </w:rPr>
        <w:t>.</w:t>
      </w:r>
    </w:p>
    <w:p w:rsidR="001D728A" w:rsidRPr="001D728A" w:rsidRDefault="001D72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FF0000"/>
        </w:rPr>
      </w:pPr>
      <w:hyperlink r:id="rId8" w:history="1">
        <w:r w:rsidRPr="001D728A">
          <w:rPr>
            <w:rStyle w:val="Hipervnculo"/>
            <w:rFonts w:ascii="Calibri" w:eastAsia="Calibri" w:hAnsi="Calibri" w:cs="Calibri"/>
            <w:color w:val="FF0000"/>
          </w:rPr>
          <w:t>Grupos de interés</w:t>
        </w:r>
      </w:hyperlink>
      <w:r w:rsidRPr="001D728A">
        <w:rPr>
          <w:rFonts w:ascii="Calibri" w:eastAsia="Calibri" w:hAnsi="Calibri" w:cs="Calibri"/>
          <w:color w:val="FF0000"/>
        </w:rPr>
        <w:t xml:space="preserve"> identificados en este procedimiento.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2. ALCANCE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Entrada</w:t>
      </w:r>
      <w:r>
        <w:rPr>
          <w:rFonts w:ascii="Calibri" w:eastAsia="Calibri" w:hAnsi="Calibri" w:cs="Calibri"/>
        </w:rPr>
        <w:t>: Documento de Planificación, Desarrollo y Seguimiento del SGC para el nuevo ciclo de gestión (concretamente, actuaciones de mejora resultantes del análisis de los resultados de los procesos de enseñanza-aprendizaje a tener en cuenta en el nuevo ciclo de gestión). Procesos descritos en el apartado 4.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Salida</w:t>
      </w:r>
      <w:r>
        <w:rPr>
          <w:rFonts w:ascii="Calibri" w:eastAsia="Calibri" w:hAnsi="Calibri" w:cs="Calibri"/>
        </w:rPr>
        <w:t>: Resultados de los procesos de enseñanza-aprendizaje.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8F577D">
      <w:pPr>
        <w:jc w:val="both"/>
        <w:rPr>
          <w:rFonts w:ascii="Calibri" w:eastAsia="Calibri" w:hAnsi="Calibri" w:cs="Calibri"/>
          <w:b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3. RESPONSABILIDADES 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6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Comisión con responsabilidad en la orientación académica y profesional al estudiantado. [ROAPE] </w:t>
      </w:r>
    </w:p>
    <w:p w:rsidR="008F577D" w:rsidRDefault="00000000">
      <w:pPr>
        <w:numPr>
          <w:ilvl w:val="0"/>
          <w:numId w:val="6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Comisión de Coordinación de Título. [CCT]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Comisión de Garantía de Calidad. [CGC]</w:t>
      </w:r>
    </w:p>
    <w:p w:rsidR="008F577D" w:rsidRDefault="00000000">
      <w:pPr>
        <w:numPr>
          <w:ilvl w:val="0"/>
          <w:numId w:val="6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Comisión de Trabajo Fin de Título. [CTFT]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Consejo </w:t>
      </w:r>
      <w:r>
        <w:rPr>
          <w:rFonts w:ascii="Calibri" w:eastAsia="Calibri" w:hAnsi="Calibri" w:cs="Calibri"/>
          <w:color w:val="000000"/>
        </w:rPr>
        <w:t>de Gobierno. [UJA-CG]</w:t>
      </w:r>
      <w:r>
        <w:rPr>
          <w:rFonts w:ascii="Calibri" w:eastAsia="Calibri" w:hAnsi="Calibri" w:cs="Calibri"/>
          <w:color w:val="000000"/>
        </w:rPr>
        <w:tab/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Decano/a. [DEC]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Departamentos. [DPTOS]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Equipo Decanal. </w:t>
      </w:r>
      <w:r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  <w:color w:val="000000"/>
        </w:rPr>
        <w:t>ED</w:t>
      </w:r>
      <w:r>
        <w:rPr>
          <w:rFonts w:ascii="Calibri" w:eastAsia="Calibri" w:hAnsi="Calibri" w:cs="Calibri"/>
        </w:rPr>
        <w:t>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Facultad de Ciencias Experimentales. [FCE]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Junta de </w:t>
      </w:r>
      <w:r>
        <w:rPr>
          <w:rFonts w:ascii="Calibri" w:eastAsia="Calibri" w:hAnsi="Calibri" w:cs="Calibri"/>
        </w:rPr>
        <w:t>Facultad.</w:t>
      </w:r>
      <w:r>
        <w:rPr>
          <w:rFonts w:ascii="Calibri" w:eastAsia="Calibri" w:hAnsi="Calibri" w:cs="Calibri"/>
          <w:color w:val="000000"/>
        </w:rPr>
        <w:t xml:space="preserve"> [J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color w:val="000000"/>
        </w:rPr>
        <w:t>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Personal Docente e Investigador que coordina la asignatura. [PDI]</w:t>
      </w:r>
      <w:r>
        <w:rPr>
          <w:rFonts w:ascii="Calibri" w:eastAsia="Calibri" w:hAnsi="Calibri" w:cs="Calibri"/>
          <w:color w:val="000000"/>
        </w:rPr>
        <w:tab/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Servicio de Gestión Académica. [SGA]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Servici</w:t>
      </w:r>
      <w:r>
        <w:rPr>
          <w:rFonts w:ascii="Calibri" w:eastAsia="Calibri" w:hAnsi="Calibri" w:cs="Calibri"/>
        </w:rPr>
        <w:t>o de Gestión de las Enseñanzas. [SGE]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Servicio de Relaciones Internacionales y Cooperación. [SERINCO]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Tutor Académico de Prácticas </w:t>
      </w:r>
      <w:r>
        <w:rPr>
          <w:rFonts w:ascii="Calibri" w:eastAsia="Calibri" w:hAnsi="Calibri" w:cs="Calibri"/>
        </w:rPr>
        <w:t>de la FCE.</w:t>
      </w:r>
      <w:r>
        <w:rPr>
          <w:rFonts w:ascii="Calibri" w:eastAsia="Calibri" w:hAnsi="Calibri" w:cs="Calibri"/>
          <w:color w:val="000000"/>
        </w:rPr>
        <w:t xml:space="preserve"> [TAP]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Tutor Académico de Prácticas </w:t>
      </w:r>
      <w:r>
        <w:rPr>
          <w:rFonts w:ascii="Calibri" w:eastAsia="Calibri" w:hAnsi="Calibri" w:cs="Calibri"/>
        </w:rPr>
        <w:t>Externas.</w:t>
      </w:r>
      <w:r>
        <w:rPr>
          <w:rFonts w:ascii="Calibri" w:eastAsia="Calibri" w:hAnsi="Calibri" w:cs="Calibri"/>
          <w:color w:val="000000"/>
        </w:rPr>
        <w:t xml:space="preserve"> [TAP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color w:val="000000"/>
        </w:rPr>
        <w:t>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Vicedecano/a con competencias en Calidad. [VICCAL]</w:t>
      </w:r>
    </w:p>
    <w:p w:rsidR="008F577D" w:rsidRDefault="00000000">
      <w:pPr>
        <w:numPr>
          <w:ilvl w:val="0"/>
          <w:numId w:val="6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Vicedecano/a con competencias en movilidad. [VICMOV]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Vicedecano/a con competencias en organización de otras actividades relacionadas con el proceso de enseñanza-aprendizaje. [VICARPEA]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Vicedecano/a con competencias en orientación académica. [VICOA]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Vicedecano/a con competencias en orientación profesional. [VICOP]</w:t>
      </w:r>
      <w:r>
        <w:rPr>
          <w:color w:val="000000"/>
        </w:rPr>
        <w:t xml:space="preserve"> 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Vicedecano/a con competencias en Títulos. [VICTIT]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Vicerrectorado con competencias en Profesorado y Ordenación Académica. [UJA-VIC3]</w:t>
      </w:r>
    </w:p>
    <w:p w:rsidR="008F577D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Vicerrectorado responsable de la Movilidad de los estudiantes. [UJA-VIC6]</w:t>
      </w:r>
    </w:p>
    <w:p w:rsidR="008F577D" w:rsidRDefault="008F577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</w:rPr>
      </w:pPr>
    </w:p>
    <w:p w:rsidR="008F577D" w:rsidRDefault="008F577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 DESARROLLO</w:t>
      </w:r>
    </w:p>
    <w:p w:rsidR="008F577D" w:rsidRDefault="008F577D">
      <w:pPr>
        <w:jc w:val="both"/>
        <w:rPr>
          <w:rFonts w:ascii="Calibri" w:eastAsia="Calibri" w:hAnsi="Calibri" w:cs="Calibri"/>
          <w:b/>
        </w:rPr>
      </w:pP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[Tal y como se indica en el procedimiento PA03 </w:t>
      </w:r>
      <w:r>
        <w:rPr>
          <w:rFonts w:ascii="Calibri" w:eastAsia="Calibri" w:hAnsi="Calibri" w:cs="Calibri"/>
          <w:i/>
          <w:color w:val="000000"/>
        </w:rPr>
        <w:t>Gestión de recursos para el aprendizaje y apoyo al estudiantado</w:t>
      </w:r>
      <w:r>
        <w:rPr>
          <w:rFonts w:ascii="Calibri" w:eastAsia="Calibri" w:hAnsi="Calibri" w:cs="Calibri"/>
          <w:color w:val="000000"/>
        </w:rPr>
        <w:t xml:space="preserve">, la Universidad de Jaén tiene implantado de forma transversal el Sistema Integrado de Gestión de la Calidad de los Servicios y Unidades Administrativas, que integra, entre otros, los servicios académicos (gestión administrativa y de prestación de servicios de apoyo para el desarrollo de la actividad académica de la Universidad) y la gestión de la movilidad de los estudiantes]. </w:t>
      </w: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[Tal y como se indica en el procedimiento PA01 </w:t>
      </w:r>
      <w:r>
        <w:rPr>
          <w:rFonts w:ascii="Calibri" w:eastAsia="Calibri" w:hAnsi="Calibri" w:cs="Calibri"/>
          <w:i/>
          <w:color w:val="000000"/>
        </w:rPr>
        <w:t>Gestión de la información y análisis de resultados</w:t>
      </w:r>
      <w:r>
        <w:rPr>
          <w:rFonts w:ascii="Calibri" w:eastAsia="Calibri" w:hAnsi="Calibri" w:cs="Calibri"/>
          <w:color w:val="000000"/>
        </w:rPr>
        <w:t>, e</w:t>
      </w:r>
      <w:r>
        <w:rPr>
          <w:rFonts w:ascii="Calibri" w:eastAsia="Calibri" w:hAnsi="Calibri" w:cs="Calibri"/>
        </w:rPr>
        <w:t>l Centro dispone de un sistema de gestión de la información, sistematizado y actualizado que gestiona los indicadores clave del SGC del Centro, entre los que se incluyen los resultados académicos, los resultados de satisfacción y los resultados de quejas y sugerencias, entre otros].</w:t>
      </w:r>
    </w:p>
    <w:p w:rsidR="008F577D" w:rsidRDefault="008F577D">
      <w:pPr>
        <w:jc w:val="both"/>
        <w:rPr>
          <w:rFonts w:ascii="Calibri" w:eastAsia="Calibri" w:hAnsi="Calibri" w:cs="Calibri"/>
          <w:b/>
        </w:rPr>
      </w:pP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4.1. PERFILES DE INGRESO. CAPTACIÓN DE ESTUDIANTES. ADMISIÓN. ACCESO. MATRICULACIÓN</w:t>
      </w:r>
    </w:p>
    <w:p w:rsidR="008F577D" w:rsidRDefault="008F577D">
      <w:pPr>
        <w:jc w:val="both"/>
        <w:rPr>
          <w:rFonts w:ascii="Calibri" w:eastAsia="Calibri" w:hAnsi="Calibri" w:cs="Calibri"/>
          <w:b/>
        </w:rPr>
      </w:pP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bookmarkStart w:id="0" w:name="_heading=h.30j0zll" w:colFirst="0" w:colLast="0"/>
      <w:bookmarkEnd w:id="0"/>
      <w:r>
        <w:rPr>
          <w:rFonts w:ascii="Calibri" w:eastAsia="Calibri" w:hAnsi="Calibri" w:cs="Calibri"/>
          <w:color w:val="000000"/>
        </w:rPr>
        <w:t xml:space="preserve">CGC </w:t>
      </w:r>
      <w:r>
        <w:rPr>
          <w:rFonts w:ascii="Calibri" w:eastAsia="Calibri" w:hAnsi="Calibri" w:cs="Calibri"/>
        </w:rPr>
        <w:t xml:space="preserve">revisa y, en su caso, actualiza el Perfil Idóneo de Ingreso. </w:t>
      </w: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DEC, en caso de modificación del Perfil Idóneo de Ingreso, lo eleva a JF.</w:t>
      </w: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J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color w:val="000000"/>
        </w:rPr>
        <w:t xml:space="preserve"> aprueba el Perfil Idóneo de Ingreso.</w:t>
      </w: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 publica el Perfil Idóneo de Ingreso.</w:t>
      </w: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ED, atendiendo a los datos de oferta y demanda</w:t>
      </w:r>
      <w:r>
        <w:rPr>
          <w:rFonts w:ascii="Calibri" w:eastAsia="Calibri" w:hAnsi="Calibri" w:cs="Calibri"/>
          <w:color w:val="000000"/>
        </w:rPr>
        <w:t xml:space="preserve"> revisa y actualiza, en su caso, el Plan de Captación de Estudiantes (promoción y orientación de los estudios del Centro).</w:t>
      </w: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color w:val="000000"/>
        </w:rPr>
        <w:t xml:space="preserve"> aprueba el Plan de Captación de Estudiantes (promoción y orientación de los estudios del Centro).</w:t>
      </w: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color w:val="000000"/>
        </w:rPr>
        <w:t xml:space="preserve"> desarrolla las acciones establecidas en el Plan de Captación de Estudiantes (promoción y orientación de los estudios del Centro).</w:t>
      </w:r>
    </w:p>
    <w:p w:rsidR="008F577D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DEC, a través de SGA, aplica los criterios de admisión, acceso y matriculación de estudiantes establecidos a nivel general por el Sistema Universitario Andaluz y en la normativa de matrícula de la Universidad de Jaén.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8F577D">
      <w:pPr>
        <w:jc w:val="both"/>
        <w:rPr>
          <w:rFonts w:ascii="Calibri" w:eastAsia="Calibri" w:hAnsi="Calibri" w:cs="Calibri"/>
          <w:b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4.2. PLANIFICACIÓN Y COORDINACIÓN DOCENTE. DISEÑO, DESARROLLO Y MEJORA CONTINUA DE LAS GUÍAS DOCENTES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[DPTOS comunican a UJA-VIC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color w:val="000000"/>
        </w:rPr>
        <w:t xml:space="preserve">, de acuerdo con el Plan de Organización Docente </w:t>
      </w:r>
      <w:r>
        <w:rPr>
          <w:rFonts w:ascii="Calibri" w:eastAsia="Calibri" w:hAnsi="Calibri" w:cs="Calibri"/>
        </w:rPr>
        <w:t>(POD)</w:t>
      </w:r>
      <w:r>
        <w:rPr>
          <w:rFonts w:ascii="Calibri" w:eastAsia="Calibri" w:hAnsi="Calibri" w:cs="Calibri"/>
          <w:color w:val="000000"/>
        </w:rPr>
        <w:t xml:space="preserve"> de la UJA para el curso académico correspondiente, qué docentes son los que coordinan las asignaturas del curso siguiente]. 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DEC, a través de SGE, cumplimenta las entradas que corresponden a FCE antes de la apertura de las Guías Docentes al PDI.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DEC, a través de SGE, realiza la apertura de la plataforma de Guías Docentes al PDI al inicio del plazo.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[El PDI que coordina la asignatura cumplimenta la guía docente correspondiente, de acuerdo al POD y a los criterios establecidos por la UJA].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[DPTOS revisan las Guías Docentes antes de su aprobación, comprobando su correcta compleción en cuanto a sus competencias, contenidos, metodología de enseñanzas, actividades previstas, sistema de evaluación y bibliografía].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DEC, a través de SGE, realiza el cierre de la plataforma de Guías Docentes al PDI al finalizar el plazo.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J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color w:val="000000"/>
        </w:rPr>
        <w:t xml:space="preserve"> aprueba las Guías Docentes de las asignaturas impartidas en los títulos de FCE.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DEC, a través de SGE, da el visto bueno a las Guías Docentes correspondientes a FCE.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DEC, a través de SGE, publica las Guías elaboradas, </w:t>
      </w:r>
      <w:r>
        <w:rPr>
          <w:rFonts w:ascii="Calibri" w:eastAsia="Calibri" w:hAnsi="Calibri" w:cs="Calibri"/>
        </w:rPr>
        <w:t>una vez</w:t>
      </w:r>
      <w:r>
        <w:rPr>
          <w:rFonts w:ascii="Calibri" w:eastAsia="Calibri" w:hAnsi="Calibri" w:cs="Calibri"/>
          <w:color w:val="000000"/>
        </w:rPr>
        <w:t xml:space="preserve"> aprobadas por</w:t>
      </w:r>
      <w:r>
        <w:rPr>
          <w:rFonts w:ascii="Calibri" w:eastAsia="Calibri" w:hAnsi="Calibri" w:cs="Calibri"/>
        </w:rPr>
        <w:t xml:space="preserve"> UJA-CG, </w:t>
      </w:r>
      <w:r>
        <w:rPr>
          <w:rFonts w:ascii="Calibri" w:eastAsia="Calibri" w:hAnsi="Calibri" w:cs="Calibri"/>
          <w:color w:val="000000"/>
        </w:rPr>
        <w:t>con antelación al inicio del periodo de matriculación.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VICTIT elabora y presenta a CCT la Planificación Docente Anual del título sobre el que tiene competencia (</w:t>
      </w:r>
      <w:r>
        <w:rPr>
          <w:rFonts w:ascii="Calibri" w:eastAsia="Calibri" w:hAnsi="Calibri" w:cs="Calibri"/>
          <w:color w:val="000000"/>
        </w:rPr>
        <w:t>PA02)</w:t>
      </w:r>
      <w:r>
        <w:rPr>
          <w:rFonts w:ascii="Calibri" w:eastAsia="Calibri" w:hAnsi="Calibri" w:cs="Calibri"/>
        </w:rPr>
        <w:t xml:space="preserve">. La Planificación Docente incluye la oferta de materias y asignaturas, conforme a lo previsto en la Memoria verificada. 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VICTIT informa a DEC.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DEC eleva la Planificación del Curso Académico de la FCE a la JF. 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J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color w:val="000000"/>
        </w:rPr>
        <w:t xml:space="preserve"> aprueba la Planificación del Curso Académico.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 difunde la Planificación del Curso Académico.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VICTIT, en su caso, mantiene reuniones de coordinación y propone ajustes a DEC.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DEC analiza las propuestas y, en su caso, las eleva a la JF para su aprobación. 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VICTIT coordina el desarrollo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color w:val="000000"/>
        </w:rPr>
        <w:t>el seguimiento del Plan de Estudios (PA02).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DEC</w:t>
      </w:r>
      <w:r>
        <w:rPr>
          <w:rFonts w:ascii="Calibri" w:eastAsia="Calibri" w:hAnsi="Calibri" w:cs="Calibri"/>
          <w:color w:val="000000"/>
        </w:rPr>
        <w:t xml:space="preserve"> propone a</w:t>
      </w:r>
      <w:r>
        <w:rPr>
          <w:rFonts w:ascii="Calibri" w:eastAsia="Calibri" w:hAnsi="Calibri" w:cs="Calibri"/>
        </w:rPr>
        <w:t xml:space="preserve"> JF</w:t>
      </w:r>
      <w:r>
        <w:rPr>
          <w:rFonts w:ascii="Calibri" w:eastAsia="Calibri" w:hAnsi="Calibri" w:cs="Calibri"/>
          <w:color w:val="000000"/>
        </w:rPr>
        <w:t>, dentro de los plazos establecidos, las modificaciones en la oferta docente.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VICTIT</w:t>
      </w:r>
      <w:r>
        <w:rPr>
          <w:rFonts w:ascii="Calibri" w:eastAsia="Calibri" w:hAnsi="Calibri" w:cs="Calibri"/>
          <w:color w:val="000000"/>
        </w:rPr>
        <w:t xml:space="preserve"> vela por el cumplimiento de las metodologías de enseñanza y evaluación de los resultados de aprendizaje establecidos en las Guías Docentes correspondientes.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VICTIT, en caso de incumplimiento de lo establecido en las Guías Docentes, informa a CGC, que evalúa la situación y propone actuaciones concretas.</w:t>
      </w:r>
    </w:p>
    <w:p w:rsidR="008F57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DEC</w:t>
      </w:r>
      <w:r>
        <w:rPr>
          <w:rFonts w:ascii="Calibri" w:eastAsia="Calibri" w:hAnsi="Calibri" w:cs="Calibri"/>
          <w:color w:val="000000"/>
        </w:rPr>
        <w:t xml:space="preserve"> adopta, en su caso, las acciones que correspondan con relación al incumplimiento de lo establecido en las Guías Docentes.</w:t>
      </w:r>
    </w:p>
    <w:p w:rsidR="008F577D" w:rsidRDefault="008F577D">
      <w:pPr>
        <w:jc w:val="both"/>
        <w:rPr>
          <w:rFonts w:ascii="Calibri" w:eastAsia="Calibri" w:hAnsi="Calibri" w:cs="Calibri"/>
          <w:b/>
        </w:rPr>
      </w:pP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4.3. ORIENTACIÓN ACADÉMICA Y PROFESIONAL AL ESTUDIANTADO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VICOA</w:t>
      </w:r>
      <w:r>
        <w:rPr>
          <w:rFonts w:ascii="Calibri" w:eastAsia="Calibri" w:hAnsi="Calibri" w:cs="Calibri"/>
          <w:color w:val="000000"/>
        </w:rPr>
        <w:t xml:space="preserve"> revisa y actualiza el plan de acciones de acogida, de tutoría y de apoyo en el proceso de aprendizaje de estudiantes.</w:t>
      </w:r>
    </w:p>
    <w:p w:rsidR="008F57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DEC</w:t>
      </w:r>
      <w:r>
        <w:rPr>
          <w:rFonts w:ascii="Calibri" w:eastAsia="Calibri" w:hAnsi="Calibri" w:cs="Calibri"/>
          <w:color w:val="000000"/>
        </w:rPr>
        <w:t xml:space="preserve"> aprueba el plan de acciones de acogida, de tutoría y de apoyo en el proceso de aprendizaje de los estudiantes e inf</w:t>
      </w:r>
      <w:r>
        <w:rPr>
          <w:rFonts w:ascii="Calibri" w:eastAsia="Calibri" w:hAnsi="Calibri" w:cs="Calibri"/>
        </w:rPr>
        <w:t>orma a JF</w:t>
      </w:r>
      <w:r>
        <w:rPr>
          <w:rFonts w:ascii="Calibri" w:eastAsia="Calibri" w:hAnsi="Calibri" w:cs="Calibri"/>
          <w:color w:val="000000"/>
        </w:rPr>
        <w:t>.</w:t>
      </w:r>
    </w:p>
    <w:p w:rsidR="008F57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VICOA</w:t>
      </w:r>
      <w:r>
        <w:rPr>
          <w:rFonts w:ascii="Calibri" w:eastAsia="Calibri" w:hAnsi="Calibri" w:cs="Calibri"/>
          <w:color w:val="000000"/>
        </w:rPr>
        <w:t xml:space="preserve"> publica y difunde el plan de acciones de acogida, de tutoría y de apoyo en el proceso de aprendizaje de estudiantes.</w:t>
      </w:r>
    </w:p>
    <w:p w:rsidR="008F57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Los responsables (ROAPE) correspondientes ponen en marcha y desarrollan las acciones de acogida, de tutoría y de apoyo en el proceso de aprendizaje de estudiantes recogidos en el plan.</w:t>
      </w:r>
    </w:p>
    <w:p w:rsidR="008F57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VICOA</w:t>
      </w:r>
      <w:r>
        <w:rPr>
          <w:rFonts w:ascii="Calibri" w:eastAsia="Calibri" w:hAnsi="Calibri" w:cs="Calibri"/>
          <w:color w:val="000000"/>
        </w:rPr>
        <w:t xml:space="preserve"> analiza los resultados del plan de acciones de acogida, de tutoría y de apoyo en el proceso de aprendizaje de estudiantes e informa a la CGC</w:t>
      </w:r>
      <w:r>
        <w:rPr>
          <w:rFonts w:ascii="Calibri" w:eastAsia="Calibri" w:hAnsi="Calibri" w:cs="Calibri"/>
        </w:rPr>
        <w:t>.</w:t>
      </w:r>
    </w:p>
    <w:p w:rsidR="008F577D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CGC analiza los resultados obtenidos del plan de acciones de acogida, de tutoría y de apoyo en el proceso de aprendizaje de estudiantes y, en su caso, propone acciones de mejora.</w:t>
      </w:r>
    </w:p>
    <w:p w:rsidR="008F57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VICOP</w:t>
      </w:r>
      <w:r>
        <w:rPr>
          <w:rFonts w:ascii="Calibri" w:eastAsia="Calibri" w:hAnsi="Calibri" w:cs="Calibri"/>
          <w:color w:val="000000"/>
        </w:rPr>
        <w:t xml:space="preserve"> detecta las necesidades de orientación profesional a los estudiantes 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000000"/>
        </w:rPr>
        <w:t>elabora el programa de orientación profesional a los estudiantes.</w:t>
      </w:r>
    </w:p>
    <w:p w:rsidR="008F57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DEC</w:t>
      </w:r>
      <w:r>
        <w:rPr>
          <w:rFonts w:ascii="Calibri" w:eastAsia="Calibri" w:hAnsi="Calibri" w:cs="Calibri"/>
          <w:color w:val="000000"/>
        </w:rPr>
        <w:t xml:space="preserve"> aprueba, informa a J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color w:val="000000"/>
        </w:rPr>
        <w:t xml:space="preserve"> y d</w:t>
      </w:r>
      <w:r>
        <w:rPr>
          <w:rFonts w:ascii="Calibri" w:eastAsia="Calibri" w:hAnsi="Calibri" w:cs="Calibri"/>
        </w:rPr>
        <w:t>ifunde</w:t>
      </w:r>
      <w:r>
        <w:rPr>
          <w:rFonts w:ascii="Calibri" w:eastAsia="Calibri" w:hAnsi="Calibri" w:cs="Calibri"/>
          <w:color w:val="000000"/>
        </w:rPr>
        <w:t xml:space="preserve"> el programa de orientación profesional a los estudiantes.</w:t>
      </w:r>
    </w:p>
    <w:p w:rsidR="008F577D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Los responsables (ROAPE) correspondientes ponen en marcha y desarrollan las acciones de orientación profesional a los estudiantes.</w:t>
      </w:r>
    </w:p>
    <w:p w:rsidR="008F577D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VICOP analiza los resultados de orientación profesional a los estudiantes e informa a CGC.</w:t>
      </w:r>
    </w:p>
    <w:p w:rsidR="008F57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CGC analiza los resultados obtenidos del programa de orientación profesional a los estudiantes </w:t>
      </w:r>
      <w:r>
        <w:rPr>
          <w:rFonts w:ascii="Calibri" w:eastAsia="Calibri" w:hAnsi="Calibri" w:cs="Calibri"/>
        </w:rPr>
        <w:t>y, en su caso, propone acciones de mejora.</w:t>
      </w:r>
    </w:p>
    <w:p w:rsidR="008F577D" w:rsidRDefault="008F577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4.4. GESTIÓN DE LAS PRÁCTICAS EXTERNAS CURRICULARES 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JF es responsable del programa de prácticas externas curriculares de la FCE, que abarca la captación de ofertas, la gestión, supervisión y evaluación de las mismas según prevé la normativa aplicable. </w:t>
      </w:r>
    </w:p>
    <w:p w:rsidR="008F577D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ED, bien por iniciativa propia, a petición de algún miembro de los distintos grupos de interés, impulsa los correspondientes convenios. </w:t>
      </w:r>
    </w:p>
    <w:p w:rsidR="008F577D" w:rsidRDefault="00000000">
      <w:pPr>
        <w:numPr>
          <w:ilvl w:val="0"/>
          <w:numId w:val="1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VICTIT gestiona la oferta de prácticas curriculares conforme a la normativa aplicable.</w:t>
      </w:r>
    </w:p>
    <w:p w:rsidR="008F577D" w:rsidRDefault="00000000">
      <w:pPr>
        <w:numPr>
          <w:ilvl w:val="0"/>
          <w:numId w:val="1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VICTIT gestiona el procedimiento de solicitud, selección y adjudicación de las prácticas curriculares, con arreglo a criterios objetivos previamente determinados, garantizando, en todo caso, los principios de transparencia, mérito, publicidad e igualdad de oportunidades.</w:t>
      </w:r>
    </w:p>
    <w:p w:rsidR="008F577D" w:rsidRDefault="00000000">
      <w:pPr>
        <w:numPr>
          <w:ilvl w:val="0"/>
          <w:numId w:val="1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VICTIT actúa como TAP y aporta a TAPE información sobre la normativa que regula las prácticas externas y sobre el proyecto formativo y las condiciones de su desarrollo.</w:t>
      </w:r>
    </w:p>
    <w:p w:rsidR="008F577D" w:rsidRDefault="00000000">
      <w:pPr>
        <w:numPr>
          <w:ilvl w:val="0"/>
          <w:numId w:val="1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TAP vela por el normal desarrollo del proyecto formativo y hace un seguimiento efectivo de las prácticas coordinándose con TAPE.</w:t>
      </w:r>
    </w:p>
    <w:p w:rsidR="008F577D" w:rsidRDefault="00000000">
      <w:pPr>
        <w:numPr>
          <w:ilvl w:val="0"/>
          <w:numId w:val="1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TAP lleva a cabo el proceso evaluador de las prácticas del alumnado tutelado</w:t>
      </w:r>
      <w:r>
        <w:t xml:space="preserve"> </w:t>
      </w:r>
      <w:r>
        <w:rPr>
          <w:rFonts w:ascii="Calibri" w:eastAsia="Calibri" w:hAnsi="Calibri" w:cs="Calibri"/>
        </w:rPr>
        <w:t>de acuerdo a la guía docente correspondiente.</w:t>
      </w:r>
    </w:p>
    <w:p w:rsidR="008F577D" w:rsidRDefault="00000000">
      <w:pPr>
        <w:numPr>
          <w:ilvl w:val="0"/>
          <w:numId w:val="1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VICTIT recoge y analiza los resultados obtenidos de las prácticas externas curriculares de la FCE y los presenta a la CGC que, en su caso, propone acciones de mejora. 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4.5. GESTIÓN DE LA MOVILIDAD DE LOS ESTUDIANTES </w:t>
      </w:r>
    </w:p>
    <w:p w:rsidR="008F577D" w:rsidRDefault="008F577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 [UJA-VIC6, a través de SERINCO, aplic</w:t>
      </w:r>
      <w:r>
        <w:rPr>
          <w:rFonts w:ascii="Calibri" w:eastAsia="Calibri" w:hAnsi="Calibri" w:cs="Calibri"/>
          <w:color w:val="000000"/>
        </w:rPr>
        <w:t xml:space="preserve">a la normativa de movilidad de estudiantes (publicación convocatoria, solicitudes, adjudicación, asesoramiento)]. </w:t>
      </w:r>
    </w:p>
    <w:p w:rsidR="008F57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 xml:space="preserve">VICMOV, a través de SERINCO, aplica la normativa de movilidad de salida de estudiantes (analiza convenios firmados, gestiona contrato de estudios, supervisa los aspectos académicos de la estancia del estudiante, </w:t>
      </w:r>
      <w:proofErr w:type="spellStart"/>
      <w:r>
        <w:rPr>
          <w:rFonts w:ascii="Calibri" w:eastAsia="Calibri" w:hAnsi="Calibri" w:cs="Calibri"/>
        </w:rPr>
        <w:t>recepciona</w:t>
      </w:r>
      <w:proofErr w:type="spellEnd"/>
      <w:r>
        <w:rPr>
          <w:rFonts w:ascii="Calibri" w:eastAsia="Calibri" w:hAnsi="Calibri" w:cs="Calibri"/>
        </w:rPr>
        <w:t xml:space="preserve"> los informes y las calificaciones correspondientes, formaliza el reconocimiento de los estudios).</w:t>
      </w:r>
    </w:p>
    <w:p w:rsidR="008F57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VICMOV supervisa los aspectos académicos de la estancia del alumnado entrante.</w:t>
      </w:r>
    </w:p>
    <w:p w:rsidR="008F57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[SERINCO </w:t>
      </w:r>
      <w:proofErr w:type="spellStart"/>
      <w:r>
        <w:rPr>
          <w:rFonts w:ascii="Calibri" w:eastAsia="Calibri" w:hAnsi="Calibri" w:cs="Calibri"/>
        </w:rPr>
        <w:t>recepciona</w:t>
      </w:r>
      <w:proofErr w:type="spellEnd"/>
      <w:r>
        <w:rPr>
          <w:rFonts w:ascii="Calibri" w:eastAsia="Calibri" w:hAnsi="Calibri" w:cs="Calibri"/>
        </w:rPr>
        <w:t xml:space="preserve"> los informes y las calificaciones del alumnado saliente].</w:t>
      </w:r>
    </w:p>
    <w:p w:rsidR="008F57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VICMOV anota el rendimiento académico (calificaciones) recibido en el expediente de cada estudiante.</w:t>
      </w:r>
    </w:p>
    <w:p w:rsidR="008F57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VIC</w:t>
      </w:r>
      <w:r>
        <w:rPr>
          <w:rFonts w:ascii="Calibri" w:eastAsia="Calibri" w:hAnsi="Calibri" w:cs="Calibri"/>
        </w:rPr>
        <w:t>MOV</w:t>
      </w:r>
      <w:r>
        <w:rPr>
          <w:rFonts w:ascii="Calibri" w:eastAsia="Calibri" w:hAnsi="Calibri" w:cs="Calibri"/>
          <w:color w:val="000000"/>
        </w:rPr>
        <w:t xml:space="preserve"> informa de los resultados de la convocatoria correspondiente a CGC.</w:t>
      </w:r>
    </w:p>
    <w:p w:rsidR="008F577D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CGC analiza los resultados obtenidos de los programas de movilidad que afectan a los títulos de la FCE y, en su caso, propone las acciones de mejora correspondientes</w:t>
      </w:r>
      <w:r>
        <w:rPr>
          <w:rFonts w:ascii="Calibri" w:eastAsia="Calibri" w:hAnsi="Calibri" w:cs="Calibri"/>
        </w:rPr>
        <w:t>.</w:t>
      </w:r>
    </w:p>
    <w:p w:rsidR="008F577D" w:rsidRDefault="00000000">
      <w:pPr>
        <w:jc w:val="both"/>
        <w:rPr>
          <w:rFonts w:ascii="Calibri" w:eastAsia="Calibri" w:hAnsi="Calibri" w:cs="Calibri"/>
        </w:rPr>
      </w:pPr>
      <w:r>
        <w:t xml:space="preserve">     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4.6. GESTIÓN DE RECONOCIMIENTO DE CRÉDITOS. CERTIFICACIÓN DE LOS APRENDIZAJES.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 es el responsable de resolver la adaptación, reconocimiento y transferencia de créditos contemplados en la normativa correspondiente de la Universidad de Jaén.</w:t>
      </w:r>
    </w:p>
    <w:p w:rsidR="008F577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[SGA es el servicio con competencias en gestión académica encargado del proceso de actividades evaluación: conjunto de actividades que suponen la plasmación de la evaluación de conocimientos a los expedientes académicos (actas de evaluación, reconocimiento de estudios, defensa de tesis). Esto conecta también con la acreditación de resultados: actividades que plasman en documentos oficiales los resultados de las enseñanzas (concretamente, certificaciones y títulos). Estas actividades se encuentran recogidas en el Sistema Integrado de Gestión de la Calidad de Servicios y Unidades Administrativas de la Universidad de Jaén (SIGC-SUA), concretamente en el proceso clave </w:t>
      </w:r>
      <w:hyperlink r:id="rId9">
        <w:r>
          <w:rPr>
            <w:rFonts w:ascii="Calibri" w:eastAsia="Calibri" w:hAnsi="Calibri" w:cs="Calibri"/>
            <w:color w:val="0000FF"/>
            <w:u w:val="single"/>
          </w:rPr>
          <w:t xml:space="preserve">PC09 </w:t>
        </w:r>
      </w:hyperlink>
      <w:hyperlink r:id="rId10">
        <w:r>
          <w:rPr>
            <w:rFonts w:ascii="Calibri" w:eastAsia="Calibri" w:hAnsi="Calibri" w:cs="Calibri"/>
            <w:i/>
            <w:color w:val="0000FF"/>
            <w:u w:val="single"/>
          </w:rPr>
          <w:t>Gestión Académica Administrativa</w:t>
        </w:r>
      </w:hyperlink>
      <w:r>
        <w:rPr>
          <w:rFonts w:ascii="Calibri" w:eastAsia="Calibri" w:hAnsi="Calibri" w:cs="Calibri"/>
          <w:color w:val="000000"/>
        </w:rPr>
        <w:t xml:space="preserve">: PC09.4 </w:t>
      </w:r>
      <w:r>
        <w:rPr>
          <w:rFonts w:ascii="Calibri" w:eastAsia="Calibri" w:hAnsi="Calibri" w:cs="Calibri"/>
          <w:i/>
          <w:color w:val="000000"/>
        </w:rPr>
        <w:t>Actividades de evaluación</w:t>
      </w:r>
      <w:r>
        <w:rPr>
          <w:rFonts w:ascii="Calibri" w:eastAsia="Calibri" w:hAnsi="Calibri" w:cs="Calibri"/>
          <w:color w:val="000000"/>
        </w:rPr>
        <w:t xml:space="preserve"> y PC09.5 </w:t>
      </w:r>
      <w:r>
        <w:rPr>
          <w:rFonts w:ascii="Calibri" w:eastAsia="Calibri" w:hAnsi="Calibri" w:cs="Calibri"/>
          <w:i/>
          <w:color w:val="000000"/>
        </w:rPr>
        <w:t>Acreditación de resultados</w:t>
      </w:r>
      <w:r>
        <w:rPr>
          <w:rFonts w:ascii="Calibri" w:eastAsia="Calibri" w:hAnsi="Calibri" w:cs="Calibri"/>
          <w:color w:val="000000"/>
        </w:rPr>
        <w:t>].</w:t>
      </w:r>
    </w:p>
    <w:p w:rsidR="008F577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[SGA mantiene actualizado un catálogo de reconocimientos automáticos en el que se incorporan todas las materias y actividades recogidas en las tablas de reconocimiento establecidas en las memorias de los títulos, las definidas desde el Centro con competencias en la titulación y aquellas cuyo reconocimiento haya sido autorizado previamente].</w:t>
      </w:r>
    </w:p>
    <w:p w:rsidR="008F577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DEC recibe de SGA las solicitudes aceptadas y resuelve el expediente en un plazo máximo de 3 meses desde la finalización del plazo de solicitud.</w:t>
      </w:r>
    </w:p>
    <w:p w:rsidR="008F577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VICTIT</w:t>
      </w:r>
      <w:r>
        <w:rPr>
          <w:rFonts w:ascii="Calibri" w:eastAsia="Calibri" w:hAnsi="Calibri" w:cs="Calibri"/>
          <w:color w:val="000000"/>
        </w:rPr>
        <w:t>, para cada título de la FCE, ve</w:t>
      </w:r>
      <w:r>
        <w:rPr>
          <w:rFonts w:ascii="Calibri" w:eastAsia="Calibri" w:hAnsi="Calibri" w:cs="Calibri"/>
        </w:rPr>
        <w:t>la por la adecuada realización del procedimiento de reconocimiento de créditos.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4.7. APLICACIÓN DE LA NORMATIVA RELACIONADA CON ESTUDIANTES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FCE aplica los mecanismos de la Universidad de Jaén para regular las directrices que afectan al alumnado (reglamentos, reconocimientos y certificación). La normativa relacionada con estudiantes se encuentra publicada en la web de la Secretaría General de la UJA (</w:t>
      </w:r>
      <w:hyperlink r:id="rId11">
        <w:r>
          <w:rPr>
            <w:rFonts w:ascii="Calibri" w:eastAsia="Calibri" w:hAnsi="Calibri" w:cs="Calibri"/>
            <w:color w:val="0000FF"/>
            <w:u w:val="single"/>
          </w:rPr>
          <w:t>Normativa relacionada con Estudiantes</w:t>
        </w:r>
      </w:hyperlink>
      <w:r>
        <w:rPr>
          <w:rFonts w:ascii="Calibri" w:eastAsia="Calibri" w:hAnsi="Calibri" w:cs="Calibri"/>
          <w:color w:val="000000"/>
        </w:rPr>
        <w:t>), así como en las páginas web de los títulos y Centros de la UJA.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4.8. GESTIÓN DE LA CALIDAD DE LOS TRABAJOS FIN DE TÍTULO (TFT) 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1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[FCE cuenta con mecanismos, entre los que destaca la CTFT, que aseguran la gestión de calidad de los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TFT (asignación, supervisión y evaluación), conforme a la Normativa de la Universidad y del Centro al respecto].</w:t>
      </w:r>
    </w:p>
    <w:p w:rsidR="008F577D" w:rsidRDefault="00000000">
      <w:pPr>
        <w:numPr>
          <w:ilvl w:val="0"/>
          <w:numId w:val="1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CTFT vela por el cumplimiento de la normativa aplicable sobre TFT en todas sus fases: tutoría, asignación de tema, entrega y defensa, evaluación y calificación, archivo y compromiso de publicación del TFT. </w:t>
      </w:r>
    </w:p>
    <w:p w:rsidR="008F577D" w:rsidRDefault="00000000">
      <w:pPr>
        <w:numPr>
          <w:ilvl w:val="0"/>
          <w:numId w:val="1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CTFT vela por la utilización de criterios generales de calidad y niveles de exigencia equivalentes en la evaluación de todos los TFT del Centro. </w:t>
      </w:r>
    </w:p>
    <w:p w:rsidR="008F577D" w:rsidRDefault="00000000">
      <w:pPr>
        <w:numPr>
          <w:ilvl w:val="0"/>
          <w:numId w:val="1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VICTIT tiene la función de asignación, coordinación y supervisión de los TFT del título correspondiente.</w:t>
      </w:r>
    </w:p>
    <w:p w:rsidR="008F577D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VICCAL recoge los resultados obtenidos de la gestión de los TFT de la FCE y los presenta a CGC que los analiza y, en su caso, propone las acciones de mejora correspondientes.</w:t>
      </w:r>
    </w:p>
    <w:p w:rsidR="008F577D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DEC informa a JF del análisis de la información sobre la gestión de los TFT.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4.9. GESTIÓN DE OTRAS ACTIVIDADES RELACIONADAS CON EL PROCESO DE ENSEÑANZA-APRENDIZAJE 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VICARPEA valora la necesidad de realizar otras actividades relacionadas con el proceso de enseñanza-aprendizaje y, en su caso, define la propuesta de las actividades a desarrollar.</w:t>
      </w:r>
    </w:p>
    <w:p w:rsidR="008F577D" w:rsidRDefault="00000000">
      <w:pPr>
        <w:numPr>
          <w:ilvl w:val="0"/>
          <w:numId w:val="1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DEC aprueba la oferta de otras actividades relacionadas con el proceso de enseñanza-aprendizaje e informa a JF. </w:t>
      </w:r>
    </w:p>
    <w:p w:rsidR="008F577D" w:rsidRDefault="00000000">
      <w:pPr>
        <w:numPr>
          <w:ilvl w:val="0"/>
          <w:numId w:val="1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DEC oferta las actividades al estudiantado correspondiente.</w:t>
      </w:r>
    </w:p>
    <w:p w:rsidR="008F577D" w:rsidRDefault="00000000">
      <w:pPr>
        <w:numPr>
          <w:ilvl w:val="0"/>
          <w:numId w:val="1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DEC supervisa el desarrollo de las actividades conforme a lo planificado.</w:t>
      </w:r>
    </w:p>
    <w:p w:rsidR="008F577D" w:rsidRDefault="00000000">
      <w:pPr>
        <w:numPr>
          <w:ilvl w:val="0"/>
          <w:numId w:val="1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VICARPEA recoge los resultados obtenidos de las actividades realizadas y los presenta a CGC.</w:t>
      </w:r>
    </w:p>
    <w:p w:rsidR="008F577D" w:rsidRDefault="00000000">
      <w:pPr>
        <w:numPr>
          <w:ilvl w:val="0"/>
          <w:numId w:val="1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CGC analiza los resultados obtenidos de las actividades realizadas y, en su caso, propone las acciones de mejora correspondientes. </w:t>
      </w:r>
    </w:p>
    <w:p w:rsidR="008F577D" w:rsidRDefault="008F577D">
      <w:pPr>
        <w:jc w:val="both"/>
        <w:rPr>
          <w:rFonts w:ascii="Calibri" w:eastAsia="Calibri" w:hAnsi="Calibri" w:cs="Calibri"/>
          <w:highlight w:val="red"/>
        </w:rPr>
      </w:pPr>
    </w:p>
    <w:p w:rsidR="008F577D" w:rsidRDefault="008F577D">
      <w:pPr>
        <w:jc w:val="both"/>
        <w:rPr>
          <w:rFonts w:ascii="Calibri" w:eastAsia="Calibri" w:hAnsi="Calibri" w:cs="Calibri"/>
          <w:highlight w:val="red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5. INDICADORES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355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Indicadores clave del SGC del Centro (véase anexo PA01).</w:t>
      </w:r>
    </w:p>
    <w:p w:rsidR="008F577D" w:rsidRDefault="0000000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355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Número de reuniones de coordinación docente por curso académico. [I-PC02-1]</w:t>
      </w:r>
    </w:p>
    <w:p w:rsidR="008F577D" w:rsidRDefault="008F577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:rsidR="008F577D" w:rsidRDefault="008F577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:rsidR="008F577D" w:rsidRDefault="00000000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6. REGISTROS/EVIDENCIAS</w:t>
      </w:r>
    </w:p>
    <w:p w:rsidR="008F577D" w:rsidRDefault="008F577D">
      <w:pPr>
        <w:jc w:val="both"/>
        <w:rPr>
          <w:rFonts w:ascii="Calibri" w:eastAsia="Calibri" w:hAnsi="Calibri" w:cs="Calibri"/>
        </w:rPr>
      </w:pP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Documento de Planificación, Desarrollo y Seguimiento del SGC para el nuevo ciclo de gestión (planificación del curso académico). [R-PE01-8]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Perfil Idóneo de Ingreso al título. [R-PC02-1]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Plan de Captación de Estudiantes. [R-PC02-2]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Enlace web a información sobre admisión, acceso y matriculación de estudiantes. [R-PC02-3]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Enlace web a las Guías Docentes de las asignaturas. [R-PC02-4]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Plan de Acciones de Acogida, de Tutoría y de Apoyo en el proceso de aprendizaje de los estudiantes. [R-PC02-5]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Programa de Orientación Profesional a los estudiantes. [R-PC02-6]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Resultados obtenidos de las prácticas externas curriculares que afectan al Centro. [R-PC02-7]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Resultados obtenidos de los programas de movilidad que afectan al Centro. [R-PC02-8]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Resultados de créditos reconocidos por título. [R-PC02-9]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Resultados obtenidos de la gestión de los TFT de los títulos del Centro. [R-PC02-10]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2355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 su caso, resultados de otras actividades ofertadas por el Centro (vinculadas al apartado 4.9). [R-PC02-11]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Actas de reuniones de coordinación. [R-PC02-12]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2355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Enlace web a la normativa relacionada con estudiantes. [R-PC02-13]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2355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Actas de la CGC en relación con las actuaciones del PC02. [R-PC02-14]</w:t>
      </w:r>
    </w:p>
    <w:p w:rsidR="008F577D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Actas de la JF en relación con las actuaciones del PC02. [R-PC02-15]</w:t>
      </w:r>
    </w:p>
    <w:sectPr w:rsidR="008F577D">
      <w:headerReference w:type="default" r:id="rId12"/>
      <w:footerReference w:type="default" r:id="rId13"/>
      <w:pgSz w:w="11906" w:h="16838"/>
      <w:pgMar w:top="2268" w:right="1418" w:bottom="1134" w:left="1418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7955" w:rsidRDefault="00047955">
      <w:r>
        <w:separator/>
      </w:r>
    </w:p>
  </w:endnote>
  <w:endnote w:type="continuationSeparator" w:id="0">
    <w:p w:rsidR="00047955" w:rsidRDefault="0004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Light">
    <w:altName w:val="Times New Roman"/>
    <w:panose1 w:val="020B06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577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PC02                            </w:t>
    </w:r>
    <w:r>
      <w:rPr>
        <w:rFonts w:ascii="Calibri" w:eastAsia="Calibri" w:hAnsi="Calibri" w:cs="Calibri"/>
        <w:sz w:val="20"/>
        <w:szCs w:val="20"/>
      </w:rPr>
      <w:t xml:space="preserve">  </w:t>
    </w:r>
    <w:r>
      <w:rPr>
        <w:rFonts w:ascii="Calibri" w:eastAsia="Calibri" w:hAnsi="Calibri" w:cs="Calibri"/>
        <w:sz w:val="18"/>
        <w:szCs w:val="18"/>
      </w:rPr>
      <w:t>Revisión 0</w:t>
    </w:r>
    <w:r w:rsidR="001D728A">
      <w:rPr>
        <w:rFonts w:ascii="Calibri" w:eastAsia="Calibri" w:hAnsi="Calibri" w:cs="Calibri"/>
        <w:sz w:val="18"/>
        <w:szCs w:val="18"/>
      </w:rPr>
      <w:t>3</w:t>
    </w:r>
    <w:r>
      <w:rPr>
        <w:rFonts w:ascii="Calibri" w:eastAsia="Calibri" w:hAnsi="Calibri" w:cs="Calibri"/>
        <w:sz w:val="18"/>
        <w:szCs w:val="18"/>
      </w:rPr>
      <w:t xml:space="preserve"> –</w:t>
    </w:r>
    <w:proofErr w:type="spellStart"/>
    <w:r w:rsidR="001D728A">
      <w:rPr>
        <w:rFonts w:ascii="Calibri" w:eastAsia="Calibri" w:hAnsi="Calibri" w:cs="Calibri"/>
        <w:sz w:val="18"/>
        <w:szCs w:val="18"/>
      </w:rPr>
      <w:t>xxxxxxx</w:t>
    </w:r>
    <w:proofErr w:type="spellEnd"/>
    <w:r>
      <w:rPr>
        <w:rFonts w:ascii="Calibri" w:eastAsia="Calibri" w:hAnsi="Calibri" w:cs="Calibri"/>
        <w:sz w:val="20"/>
        <w:szCs w:val="20"/>
      </w:rPr>
      <w:t xml:space="preserve">       </w:t>
    </w:r>
    <w:r>
      <w:rPr>
        <w:rFonts w:ascii="Calibri" w:eastAsia="Calibri" w:hAnsi="Calibri" w:cs="Calibri"/>
        <w:color w:val="000000"/>
        <w:sz w:val="20"/>
        <w:szCs w:val="20"/>
      </w:rPr>
      <w:t xml:space="preserve">           Página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1D728A">
      <w:rPr>
        <w:rFonts w:ascii="Calibri" w:eastAsia="Calibri" w:hAnsi="Calibri" w:cs="Calibri"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de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NUMPAGES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1D728A"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7955" w:rsidRDefault="00047955">
      <w:r>
        <w:separator/>
      </w:r>
    </w:p>
  </w:footnote>
  <w:footnote w:type="continuationSeparator" w:id="0">
    <w:p w:rsidR="00047955" w:rsidRDefault="00047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577D" w:rsidRDefault="008F577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7"/>
      <w:tblW w:w="9286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086"/>
      <w:gridCol w:w="4862"/>
      <w:gridCol w:w="2338"/>
    </w:tblGrid>
    <w:tr w:rsidR="008F577D">
      <w:trPr>
        <w:trHeight w:val="702"/>
        <w:jc w:val="center"/>
      </w:trPr>
      <w:tc>
        <w:tcPr>
          <w:tcW w:w="2086" w:type="dxa"/>
          <w:vMerge w:val="restart"/>
        </w:tcPr>
        <w:p w:rsidR="008F577D" w:rsidRDefault="00000000">
          <w:pPr>
            <w:spacing w:before="120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  <w:noProof/>
            </w:rPr>
            <w:drawing>
              <wp:inline distT="0" distB="0" distL="0" distR="0">
                <wp:extent cx="1271629" cy="1016710"/>
                <wp:effectExtent l="0" t="0" r="0" b="0"/>
                <wp:docPr id="11" name="image1.jpg" descr="D:\DATOSD~1\UJA\DOCUME~1\MISDOC~1\MISDOC~1\ESCRIT~1\Desktop\VARIOS~1\MARCAU~1\17457~1.MAR\19AC0~1.MAR\01-VER~1\04-VER~1\01 - Positivo\Versio¦ün Principal Negro-0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:\DATOSD~1\UJA\DOCUME~1\MISDOC~1\MISDOC~1\ESCRIT~1\Desktop\VARIOS~1\MARCAU~1\17457~1.MAR\19AC0~1.MAR\01-VER~1\04-VER~1\01 - Positivo\Versio¦ün Principal Negro-0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1629" cy="10167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2" w:type="dxa"/>
          <w:vAlign w:val="center"/>
        </w:tcPr>
        <w:p w:rsidR="008F577D" w:rsidRDefault="00000000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jc w:val="center"/>
            <w:rPr>
              <w:rFonts w:ascii="Calibri" w:eastAsia="Calibri" w:hAnsi="Calibri" w:cs="Calibri"/>
              <w:b/>
              <w:color w:val="000000"/>
            </w:rPr>
          </w:pPr>
          <w:r>
            <w:rPr>
              <w:rFonts w:ascii="Calibri" w:eastAsia="Calibri" w:hAnsi="Calibri" w:cs="Calibri"/>
              <w:b/>
              <w:color w:val="000000"/>
            </w:rPr>
            <w:t>SISTEMA DE GARANTÍA DE CALIDAD DE LA FACULTAD DE CIENCIAS EXPERIMENTALES</w:t>
          </w:r>
        </w:p>
      </w:tc>
      <w:tc>
        <w:tcPr>
          <w:tcW w:w="2338" w:type="dxa"/>
          <w:vMerge w:val="restart"/>
          <w:vAlign w:val="center"/>
        </w:tcPr>
        <w:p w:rsidR="008F577D" w:rsidRDefault="008F577D">
          <w:pPr>
            <w:spacing w:before="40" w:after="40"/>
            <w:jc w:val="center"/>
            <w:rPr>
              <w:rFonts w:ascii="Calibri" w:eastAsia="Calibri" w:hAnsi="Calibri" w:cs="Calibri"/>
              <w:b/>
              <w:sz w:val="16"/>
              <w:szCs w:val="16"/>
            </w:rPr>
          </w:pPr>
        </w:p>
        <w:p w:rsidR="008F577D" w:rsidRDefault="00000000">
          <w:pPr>
            <w:spacing w:before="40" w:after="40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 xml:space="preserve">Código: </w:t>
          </w:r>
        </w:p>
        <w:p w:rsidR="008F577D" w:rsidRDefault="00000000">
          <w:pPr>
            <w:spacing w:before="40" w:after="40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>PC02</w:t>
          </w:r>
        </w:p>
        <w:p w:rsidR="008F577D" w:rsidRDefault="008F577D">
          <w:pPr>
            <w:spacing w:before="40" w:after="40"/>
            <w:rPr>
              <w:rFonts w:ascii="Calibri" w:eastAsia="Calibri" w:hAnsi="Calibri" w:cs="Calibri"/>
              <w:b/>
              <w:sz w:val="16"/>
              <w:szCs w:val="16"/>
            </w:rPr>
          </w:pPr>
        </w:p>
      </w:tc>
    </w:tr>
    <w:tr w:rsidR="008F577D">
      <w:trPr>
        <w:trHeight w:val="840"/>
        <w:jc w:val="center"/>
      </w:trPr>
      <w:tc>
        <w:tcPr>
          <w:tcW w:w="2086" w:type="dxa"/>
          <w:vMerge/>
        </w:tcPr>
        <w:p w:rsidR="008F577D" w:rsidRDefault="008F577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libri" w:eastAsia="Calibri" w:hAnsi="Calibri" w:cs="Calibri"/>
              <w:b/>
              <w:sz w:val="16"/>
              <w:szCs w:val="16"/>
            </w:rPr>
          </w:pPr>
        </w:p>
      </w:tc>
      <w:tc>
        <w:tcPr>
          <w:tcW w:w="4862" w:type="dxa"/>
          <w:vAlign w:val="center"/>
        </w:tcPr>
        <w:p w:rsidR="008F577D" w:rsidRDefault="00000000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jc w:val="center"/>
            <w:rPr>
              <w:rFonts w:ascii="Calibri" w:eastAsia="Calibri" w:hAnsi="Calibri" w:cs="Calibri"/>
              <w:b/>
              <w:color w:val="000000"/>
            </w:rPr>
          </w:pPr>
          <w:r>
            <w:rPr>
              <w:rFonts w:ascii="Calibri" w:eastAsia="Calibri" w:hAnsi="Calibri" w:cs="Calibri"/>
              <w:b/>
              <w:color w:val="000000"/>
            </w:rPr>
            <w:t>PROCEDIMIENTO PARA LA</w:t>
          </w:r>
        </w:p>
        <w:p w:rsidR="008F577D" w:rsidRDefault="00000000">
          <w:pPr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>GESTIÓN DE LOS PROCESOS DE ENSEÑANZA-APRENDIZAJE</w:t>
          </w:r>
        </w:p>
      </w:tc>
      <w:tc>
        <w:tcPr>
          <w:tcW w:w="2338" w:type="dxa"/>
          <w:vMerge/>
          <w:vAlign w:val="center"/>
        </w:tcPr>
        <w:p w:rsidR="008F577D" w:rsidRDefault="008F577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libri" w:eastAsia="Calibri" w:hAnsi="Calibri" w:cs="Calibri"/>
              <w:b/>
            </w:rPr>
          </w:pPr>
        </w:p>
      </w:tc>
    </w:tr>
  </w:tbl>
  <w:p w:rsidR="008F577D" w:rsidRDefault="008F57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12BD"/>
    <w:multiLevelType w:val="multilevel"/>
    <w:tmpl w:val="143EF33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B56431"/>
    <w:multiLevelType w:val="multilevel"/>
    <w:tmpl w:val="EA9E3CC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C4AB2"/>
    <w:multiLevelType w:val="multilevel"/>
    <w:tmpl w:val="C974059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8A71853"/>
    <w:multiLevelType w:val="multilevel"/>
    <w:tmpl w:val="C244423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BB8547B"/>
    <w:multiLevelType w:val="multilevel"/>
    <w:tmpl w:val="856E4F3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F282291"/>
    <w:multiLevelType w:val="multilevel"/>
    <w:tmpl w:val="A5F057D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049786B"/>
    <w:multiLevelType w:val="multilevel"/>
    <w:tmpl w:val="C46AAF9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9202ED"/>
    <w:multiLevelType w:val="multilevel"/>
    <w:tmpl w:val="FEB2BDC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0A64280"/>
    <w:multiLevelType w:val="multilevel"/>
    <w:tmpl w:val="D348F02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5B948A6"/>
    <w:multiLevelType w:val="multilevel"/>
    <w:tmpl w:val="BDCE004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E5207AD"/>
    <w:multiLevelType w:val="multilevel"/>
    <w:tmpl w:val="45F8B1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9432F08"/>
    <w:multiLevelType w:val="multilevel"/>
    <w:tmpl w:val="E9421C4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44742AA"/>
    <w:multiLevelType w:val="multilevel"/>
    <w:tmpl w:val="6A7C99C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B1F4B85"/>
    <w:multiLevelType w:val="multilevel"/>
    <w:tmpl w:val="CD26A71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D1937C9"/>
    <w:multiLevelType w:val="multilevel"/>
    <w:tmpl w:val="C1DCB62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F4430F1"/>
    <w:multiLevelType w:val="multilevel"/>
    <w:tmpl w:val="A46E90F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08373450">
    <w:abstractNumId w:val="1"/>
  </w:num>
  <w:num w:numId="2" w16cid:durableId="1866089933">
    <w:abstractNumId w:val="9"/>
  </w:num>
  <w:num w:numId="3" w16cid:durableId="510067512">
    <w:abstractNumId w:val="10"/>
  </w:num>
  <w:num w:numId="4" w16cid:durableId="1210218726">
    <w:abstractNumId w:val="13"/>
  </w:num>
  <w:num w:numId="5" w16cid:durableId="1212231869">
    <w:abstractNumId w:val="2"/>
  </w:num>
  <w:num w:numId="6" w16cid:durableId="1131367860">
    <w:abstractNumId w:val="3"/>
  </w:num>
  <w:num w:numId="7" w16cid:durableId="19015888">
    <w:abstractNumId w:val="0"/>
  </w:num>
  <w:num w:numId="8" w16cid:durableId="358317992">
    <w:abstractNumId w:val="8"/>
  </w:num>
  <w:num w:numId="9" w16cid:durableId="1477456156">
    <w:abstractNumId w:val="12"/>
  </w:num>
  <w:num w:numId="10" w16cid:durableId="129179931">
    <w:abstractNumId w:val="11"/>
  </w:num>
  <w:num w:numId="11" w16cid:durableId="438571282">
    <w:abstractNumId w:val="15"/>
  </w:num>
  <w:num w:numId="12" w16cid:durableId="1372806541">
    <w:abstractNumId w:val="14"/>
  </w:num>
  <w:num w:numId="13" w16cid:durableId="1298998483">
    <w:abstractNumId w:val="7"/>
  </w:num>
  <w:num w:numId="14" w16cid:durableId="338434089">
    <w:abstractNumId w:val="5"/>
  </w:num>
  <w:num w:numId="15" w16cid:durableId="1594119699">
    <w:abstractNumId w:val="6"/>
  </w:num>
  <w:num w:numId="16" w16cid:durableId="11885268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77D"/>
    <w:rsid w:val="00047955"/>
    <w:rsid w:val="001D728A"/>
    <w:rsid w:val="008F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A2D13B"/>
  <w15:docId w15:val="{B515078D-DB60-2948-8956-87B800CE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1F5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F41F5"/>
    <w:pPr>
      <w:keepNext/>
      <w:framePr w:hSpace="141" w:wrap="around" w:vAnchor="text" w:hAnchor="page" w:x="2492" w:y="256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rsid w:val="008F41F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41F5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8F41F5"/>
    <w:pPr>
      <w:tabs>
        <w:tab w:val="left" w:pos="-720"/>
        <w:tab w:val="left" w:pos="0"/>
      </w:tabs>
      <w:suppressAutoHyphens/>
      <w:jc w:val="both"/>
    </w:pPr>
    <w:rPr>
      <w:rFonts w:ascii="Frutiger-Light" w:hAnsi="Frutiger-Light"/>
      <w:spacing w:val="-3"/>
      <w:szCs w:val="20"/>
    </w:rPr>
  </w:style>
  <w:style w:type="paragraph" w:styleId="Textoindependiente2">
    <w:name w:val="Body Text 2"/>
    <w:basedOn w:val="Normal"/>
    <w:link w:val="Textoindependiente2Car"/>
    <w:rsid w:val="008F41F5"/>
    <w:pPr>
      <w:jc w:val="center"/>
    </w:pPr>
    <w:rPr>
      <w:sz w:val="22"/>
    </w:rPr>
  </w:style>
  <w:style w:type="paragraph" w:styleId="Sangradetextonormal">
    <w:name w:val="Body Text Indent"/>
    <w:basedOn w:val="Normal"/>
    <w:rsid w:val="008F41F5"/>
    <w:pPr>
      <w:spacing w:line="360" w:lineRule="auto"/>
      <w:ind w:firstLine="360"/>
      <w:jc w:val="both"/>
    </w:pPr>
  </w:style>
  <w:style w:type="character" w:styleId="Nmerodepgina">
    <w:name w:val="page number"/>
    <w:basedOn w:val="Fuentedeprrafopredeter"/>
    <w:rsid w:val="008F41F5"/>
  </w:style>
  <w:style w:type="paragraph" w:styleId="Sangra2detindependiente">
    <w:name w:val="Body Text Indent 2"/>
    <w:basedOn w:val="Normal"/>
    <w:rsid w:val="008F41F5"/>
    <w:pPr>
      <w:spacing w:line="360" w:lineRule="auto"/>
      <w:ind w:firstLine="1416"/>
      <w:jc w:val="both"/>
    </w:pPr>
    <w:rPr>
      <w:lang w:val="gl-ES"/>
    </w:rPr>
  </w:style>
  <w:style w:type="paragraph" w:styleId="TDC2">
    <w:name w:val="toc 2"/>
    <w:basedOn w:val="Normal"/>
    <w:next w:val="Normal"/>
    <w:autoRedefine/>
    <w:semiHidden/>
    <w:rsid w:val="008F41F5"/>
    <w:pPr>
      <w:tabs>
        <w:tab w:val="left" w:pos="-720"/>
        <w:tab w:val="left" w:pos="0"/>
        <w:tab w:val="left" w:pos="720"/>
      </w:tabs>
      <w:suppressAutoHyphens/>
      <w:jc w:val="both"/>
    </w:pPr>
    <w:rPr>
      <w:rFonts w:eastAsia="Batang"/>
      <w:bCs/>
      <w:spacing w:val="-3"/>
      <w:u w:val="single"/>
    </w:rPr>
  </w:style>
  <w:style w:type="paragraph" w:customStyle="1" w:styleId="Subapartado">
    <w:name w:val="Subapartado"/>
    <w:basedOn w:val="Normal"/>
    <w:next w:val="Metodologa"/>
    <w:rsid w:val="00270796"/>
    <w:pPr>
      <w:spacing w:line="360" w:lineRule="auto"/>
      <w:jc w:val="both"/>
    </w:pPr>
    <w:rPr>
      <w:smallCaps/>
      <w:szCs w:val="20"/>
    </w:rPr>
  </w:style>
  <w:style w:type="paragraph" w:customStyle="1" w:styleId="Metodologa">
    <w:name w:val="Metodología"/>
    <w:basedOn w:val="Normal"/>
    <w:rsid w:val="00270796"/>
    <w:pPr>
      <w:spacing w:line="360" w:lineRule="auto"/>
      <w:jc w:val="both"/>
    </w:pPr>
    <w:rPr>
      <w:szCs w:val="20"/>
    </w:rPr>
  </w:style>
  <w:style w:type="character" w:styleId="Hipervnculo">
    <w:name w:val="Hyperlink"/>
    <w:rsid w:val="009C693B"/>
    <w:rPr>
      <w:color w:val="0000FF"/>
      <w:u w:val="single"/>
    </w:rPr>
  </w:style>
  <w:style w:type="character" w:styleId="Hipervnculovisitado">
    <w:name w:val="FollowedHyperlink"/>
    <w:rsid w:val="00CE74C8"/>
    <w:rPr>
      <w:color w:val="800080"/>
      <w:u w:val="single"/>
    </w:rPr>
  </w:style>
  <w:style w:type="character" w:styleId="Refdecomentario">
    <w:name w:val="annotation reference"/>
    <w:rsid w:val="0040180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0180F"/>
    <w:rPr>
      <w:sz w:val="20"/>
      <w:szCs w:val="20"/>
    </w:rPr>
  </w:style>
  <w:style w:type="character" w:customStyle="1" w:styleId="TextocomentarioCar">
    <w:name w:val="Texto comentario Car"/>
    <w:link w:val="Textocomentario"/>
    <w:rsid w:val="0040180F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0180F"/>
    <w:rPr>
      <w:b/>
      <w:bCs/>
    </w:rPr>
  </w:style>
  <w:style w:type="character" w:customStyle="1" w:styleId="AsuntodelcomentarioCar">
    <w:name w:val="Asunto del comentario Car"/>
    <w:link w:val="Asuntodelcomentario"/>
    <w:rsid w:val="0040180F"/>
    <w:rPr>
      <w:rFonts w:ascii="Arial" w:hAnsi="Arial"/>
      <w:b/>
      <w:bCs/>
    </w:rPr>
  </w:style>
  <w:style w:type="paragraph" w:styleId="Revisin">
    <w:name w:val="Revision"/>
    <w:hidden/>
    <w:uiPriority w:val="99"/>
    <w:semiHidden/>
    <w:rsid w:val="0040180F"/>
  </w:style>
  <w:style w:type="paragraph" w:styleId="Textodeglobo">
    <w:name w:val="Balloon Text"/>
    <w:basedOn w:val="Normal"/>
    <w:link w:val="TextodegloboCar"/>
    <w:rsid w:val="004018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40180F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8B490B"/>
    <w:rPr>
      <w:rFonts w:ascii="Arial" w:hAnsi="Arial"/>
      <w:b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link w:val="Textoindependiente2"/>
    <w:rsid w:val="008B490B"/>
    <w:rPr>
      <w:rFonts w:ascii="Arial" w:hAnsi="Arial"/>
      <w:sz w:val="22"/>
      <w:szCs w:val="24"/>
      <w:lang w:val="es-ES" w:eastAsia="es-ES"/>
    </w:rPr>
  </w:style>
  <w:style w:type="character" w:styleId="Textoennegrita">
    <w:name w:val="Strong"/>
    <w:qFormat/>
    <w:rsid w:val="003C0598"/>
    <w:rPr>
      <w:b/>
      <w:bCs/>
    </w:rPr>
  </w:style>
  <w:style w:type="paragraph" w:styleId="Prrafodelista">
    <w:name w:val="List Paragraph"/>
    <w:basedOn w:val="Normal"/>
    <w:uiPriority w:val="34"/>
    <w:qFormat/>
    <w:rsid w:val="007059D6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DB7615"/>
    <w:rPr>
      <w:rFonts w:ascii="Arial" w:hAnsi="Arial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1D72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dBmA2NCqLs8iISY4zjGxB7K1LFlUVbX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jaen.es/gobierno/secgen/normativa-de-interes-universitario/normativas-estudiant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jaen.es/serv/spe/sigcsua/SIGCSUA_PC0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jaen.es/serv/spe/sigcsua/SIGCSUA_PC09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XYSY7NuZOJZm9sJx05ZWWptdbw==">CgMxLjAyCWguMzBqMHpsbDIIaC5namRneHM4AHIhMVhUTm53ZTVtY0pDM20ybVBkT3pVMmE3ZXNwSFVJUXlp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2818</Words>
  <Characters>15500</Characters>
  <Application>Microsoft Office Word</Application>
  <DocSecurity>0</DocSecurity>
  <Lines>129</Lines>
  <Paragraphs>36</Paragraphs>
  <ScaleCrop>false</ScaleCrop>
  <Company/>
  <LinksUpToDate>false</LinksUpToDate>
  <CharactersWithSpaces>18282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Servicio de Informática</dc:creator>
  <cp:lastModifiedBy>Microsoft Office User</cp:lastModifiedBy>
  <cp:revision>2</cp:revision>
  <dcterms:created xsi:type="dcterms:W3CDTF">2025-02-10T10:23:00Z</dcterms:created>
  <dcterms:modified xsi:type="dcterms:W3CDTF">2025-02-10T10:23:00Z</dcterms:modified>
</cp:coreProperties>
</file>